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151915b56e4135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35468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OPĆINA ČEPIN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22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III 2026.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1.759.074,25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2.926.321,69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166,4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1.419.819,40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1.658.492,12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116,8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339.254,85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1.267.829,57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373,7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56.700,00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697.796,73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591.855,76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84,8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641.096,73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591.855,76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92,3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258.165,90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190.679,14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201.217,36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105,5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PRIMITAKA OD FINANCIJSKE IMOVINE I ZADUŽIVANJA (šifre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201.217,36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I PRIMITAKA (šifre X678-Y345)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474.756,45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 ovom izvještajnom razdoblju prihodi poslovanja ostvareni su u iznosu 2.926.321,69 EUR. Najznačajnije povećanje odnosi se na povećanje prihoda od poreza, na povećanje pomoći iz inozemstva i od subjekata unutar općeg proračuna te na prihode od upravnih i administrativnih pristojbi.</w:t>
      </w:r>
    </w:p>
    <w:p>
      <w:r>
        <w:t xml:space="preserve">Rashodi poslovanja ostvareni su u iznosu 1.658.492,12 EUR. Najznačajnije povećanje odnosi se na materijalne rashode, pomoći dane u inozemstvo i unutar općeg proračuna te na prijenose proračunskim korisnicima te na financijske rashode.</w:t>
      </w:r>
    </w:p>
    <w:p>
      <w:r>
        <w:t xml:space="preserve">Prihodi od prodaje nefinancijske imovine nisu ostvareni u ovom izvještajnom razdoblju.</w:t>
      </w:r>
    </w:p>
    <w:p>
      <w:r>
        <w:t xml:space="preserve">Rashodi za nabavu nefinancijske imovine ostvareni su u iznosu 591.855,76 EUR. Najznačajnije povećanje odnosi se na nematerijalnu proizvedenu imovinu a smanjenje na građevinske objekte i na rashode za dodatna ulaganja na nefinancijskoj imovini.</w:t>
      </w:r>
    </w:p>
    <w:p>
      <w:r>
        <w:t xml:space="preserve">Primici od financijske imovine i zaduživanja nisu ostvareni u ovom izvještajnom razdoblju.</w:t>
      </w:r>
    </w:p>
    <w:p>
      <w:r>
        <w:t xml:space="preserve">Izdaci za financijsku imovinu i otplate zajmova ostvareni su u iznosu 201.217,36 EUR. Najznačajnije povećanje odnosi se na otplatu glavnice primljenih kredita od kreditnih institucija u javnom sektoru.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temeljem prijenosa EU sredstava (šifre 6381+6382)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52.831,66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617.509,77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1168,8</w:t>
            </w:r>
          </w:p>
        </w:tc>
      </w:tr>
    </w:tbl>
    <w:p>
      <w:pPr>
        <w:spacing w:before="0" w:after="0"/>
      </w:pPr>
    </w:p>
    <w:p>
      <w:r>
        <w:t xml:space="preserve">Prihodi su veći u ovom izvještajnom razdoblju i iznose 617.509,77 EUR.</w:t>
      </w:r>
    </w:p>
    <w:p>
      <w:r>
        <w:t xml:space="preserve">Odnose se na tekuće pomoći: projekt Zaželi II u iznosu 118.847,19 EUR i projekt Interreg HRV-SRB 4.675,00; i na kapitalne pomoći: EO Stare općine u iznosu 33.606,68 EUR, EO Dječjeg vrtića Zvončić 314.637,82 EUR i izgradnja biciklističke staze u UL.B.J.Jelačića u iznosu 145.743,08 EUR.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upravnih i administrativnih pristojbi, pristojbi po posebnim propisima i naknada (šifre 651+652+653+654)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25.136,13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345.599,87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1374,9</w:t>
            </w:r>
          </w:p>
        </w:tc>
      </w:tr>
    </w:tbl>
    <w:p>
      <w:pPr>
        <w:spacing w:before="0" w:after="0"/>
      </w:pPr>
    </w:p>
    <w:p>
      <w:r>
        <w:t xml:space="preserve">Prihodi od upravnih i administrativnih pristojbi, pristojbi po posebnim propisima i naknada veći su u odnosu na isto izvještajno razdoblje prethodne godine i iznose 345.599,87 EUR. Razlog tome je što je u ovom izvještajnom razdoblju bila uplata za šumski doprinos u iznosu 251.228,04 EUR.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Energija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46.662,58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88.867,83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190,4</w:t>
            </w:r>
          </w:p>
        </w:tc>
      </w:tr>
    </w:tbl>
    <w:p>
      <w:pPr>
        <w:spacing w:before="0" w:after="0"/>
      </w:pPr>
    </w:p>
    <w:p>
      <w:r>
        <w:t xml:space="preserve">Rashodi za energiju veći su u ovom izvještajnom razdoblju i iznose 88.867,83 EUR. Razlog tome je što je HEP ODS d.o.o. u ovom izvještajnom razdoblju ispostavio račune za javnu rasvjetu za razdoblje 20.1.2023. do 19.1.2026., a nakon uočene nepravilnosti na brojilu električne energije na mjernom mjestu 0808058571.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tekućeg i investicijskog održavanja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93.213,31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150.211,55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161,1</w:t>
            </w:r>
          </w:p>
        </w:tc>
      </w:tr>
    </w:tbl>
    <w:p>
      <w:pPr>
        <w:spacing w:before="0" w:after="0"/>
      </w:pPr>
    </w:p>
    <w:p>
      <w:r>
        <w:t xml:space="preserve">Usluge tekućeg i investicijskog održavanja u ovom izvještajnom razdoblju su veće i iznose 150.211,55 EUR. Povećanje se odnosi na usluge Komunalca d.o.o. zbog većeg opsega obavljanja poslova a samim time i viših ispostavljenih računa.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Zatezne kamate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21.321,48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Povećanje financijskih rashoda odnosi se na zatezne kamate u iznosu 21.321,48 EUR. Poduzeće Iver d.o.o. ispostavilo je račun za zatezne kamate a koje se odnose na neplaćene račune za izvođenje radova na Sportskoj dvorani (Općina Čepin preuzela je od OBŽ dugovanje prema izvođaču radova).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proračunskim korisnicima drugih proračuna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38.710,06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5.278,25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13,6</w:t>
            </w:r>
          </w:p>
        </w:tc>
      </w:tr>
    </w:tbl>
    <w:p>
      <w:pPr>
        <w:spacing w:before="0" w:after="0"/>
      </w:pPr>
    </w:p>
    <w:p>
      <w:r>
        <w:t xml:space="preserve">Tekuće pomoći proračunskim korisnicima drugih proračuna manje su u ovom izvještajnom razdoblju i iznose 5.278,25 EUR iz razloga što je projekt STEM edukacije završen te nije bilo troškova.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Prijenosi proračunskim korisnicima iz nadležnog proračuna za financiranje redovne djelatnosti (šifre 3672 do 3674)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298.355,92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420.331,18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140,9</w:t>
            </w:r>
          </w:p>
        </w:tc>
      </w:tr>
    </w:tbl>
    <w:p>
      <w:pPr>
        <w:spacing w:before="0" w:after="0"/>
      </w:pPr>
    </w:p>
    <w:p>
      <w:r>
        <w:t xml:space="preserve">Prijenosi proračunskim korisnicima iznose 420.331,18 EUR. Odnose se na rashode proračunskih korisnika Centar za kulturu, Javna vatrogasna postrojba i Dječji vrtić Zvončić Čepin a veći su zbog povećanja plaća i zapošljavanja većeg broja djelatnika.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Poslovni objekti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599.340,29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400.478,76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66,8</w:t>
            </w:r>
          </w:p>
        </w:tc>
      </w:tr>
    </w:tbl>
    <w:p>
      <w:pPr>
        <w:spacing w:before="0" w:after="0"/>
      </w:pPr>
    </w:p>
    <w:p>
      <w:r>
        <w:t xml:space="preserve">Rashodi za poslovne objekte su manji u ovom izvještajnom razdoblju i iznose 400.478,76 EUR. Razlog tome je što su projekti koji su se vodili u istom razdoblju prošle godine završeni, a u ovom razdoblju cijeli iznos odnosi se na dogradnju Dječjeg vrtića Zvončić.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Ceste, željeznice i ostali prometni objekti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3.225,00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32.250,00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1000</w:t>
            </w:r>
          </w:p>
        </w:tc>
      </w:tr>
    </w:tbl>
    <w:p>
      <w:pPr>
        <w:spacing w:before="0" w:after="0"/>
      </w:pPr>
    </w:p>
    <w:p>
      <w:r>
        <w:t xml:space="preserve">U ovom izvještajnom razdoblju cijeli iznos od 32.250,00 EUR odnosi se na izradu glavnog projekta biciklističko-pješačke staze od dvorca Adamović do Speisera.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građevinski objekti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34.146,23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87.150,00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255,2</w:t>
            </w:r>
          </w:p>
        </w:tc>
      </w:tr>
    </w:tbl>
    <w:p>
      <w:pPr>
        <w:spacing w:before="0" w:after="0"/>
      </w:pPr>
    </w:p>
    <w:p>
      <w:r>
        <w:t xml:space="preserve">Rashodi su veći a odnose se na izgradnju javne rasvjete u naselju Čepin.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Umjetnička, literarna i znanstvena djela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15.000,00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63.000,00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420,0</w:t>
            </w:r>
          </w:p>
        </w:tc>
      </w:tr>
    </w:tbl>
    <w:p>
      <w:pPr>
        <w:spacing w:before="0" w:after="0"/>
      </w:pPr>
    </w:p>
    <w:p>
      <w:r>
        <w:t xml:space="preserve">Rashodi za umjetnička, literarna i znanstvena djela veći su u odnosu na usporedno izvještajno razdoblje i iznose 63.000,00 EUR: za glavni project Adamovich-ljetnikovac Speiser 31.875,00 EUR  i za izvedbeni projekt vatrogasnog doma 31.125,00 EUR.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5422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Otplata glavnice primljenih kredita od kreditnih institucija u javnom sektoru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5422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47.815,17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Iznos od 47.815,17 EUR odnosi se na otplatu glavnice kredita HBOR-u za energetsku obnovu Dječjeg vrtića Zvončić. Otplata je započela u prvom mjesecu ove godine u mjesečnim ratama.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596.782,27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Stanje dospjelih obveza na kraju izvještajnog razdoblja iznosi 596.782,27 EUR: obveze za zaposlene 1.768,90 EUR, obveze za materijalne rashode 282.410,74 EUR, obveze za nabavu nefinancijske imovine 312.552,63 EUR.</w:t>
      </w:r>
    </w:p>
    <w:p>
      <w:r>
        <w:t xml:space="preserve">Povećanje u odnosu na isto izvještajno razdoblje prethodne godine je zbog provedbe većih projekata te preuzimanja dugovanja OBŽ za izgradnju Sportske dvorane.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EU izvještaj</w:t>
      </w:r>
    </w:p>
    <w:p>
      <w:r>
        <w:t xml:space="preserve">EU sufinanciranje iznosi 599.682,69 EUR a odnosi se na sufinanciranje:</w:t>
      </w:r>
    </w:p>
    <w:p>
      <w:r>
        <w:t xml:space="preserve">101.020,11 EUR za projekt Zaželi 2</w:t>
      </w:r>
    </w:p>
    <w:p>
      <w:r>
        <w:t xml:space="preserve">4.675,00 EUR za projekt Interreg HRV-SRB</w:t>
      </w:r>
    </w:p>
    <w:p>
      <w:r>
        <w:t xml:space="preserve">145.743,08 EUR za projekt Izgradnja bicikl.-pješačke staze u Ul.B.J.Jelačića</w:t>
      </w:r>
    </w:p>
    <w:p>
      <w:r>
        <w:t xml:space="preserve">33.606,68 EUR za projekt EO Stare općine</w:t>
      </w:r>
    </w:p>
    <w:p>
      <w:r>
        <w:t xml:space="preserve">314.637,82 EUR za projekt EO Dječjeg vrtića Zvončić</w:t>
      </w:r>
    </w:p>
    <w:p>
      <w:r>
        <w:t xml:space="preserve">Nacionalno sufinanciranje iznosi 17.827,08 EUR, a odnosi se na projekt Zaželi 2 (15%).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fdffc2bdf5b4456" /></Relationships>
</file>